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Times New Roman" w:ascii="Arial" w:hAnsi="Arial"/>
          <w:b/>
          <w:bCs/>
          <w:color w:val="000000"/>
          <w:sz w:val="24"/>
          <w:szCs w:val="24"/>
        </w:rPr>
        <w:t>RESOLUÇÃO CSDP Nº 177, DE 21 DE NOVEMBRO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Web"/>
        <w:widowControl/>
        <w:bidi w:val="0"/>
        <w:spacing w:lineRule="auto" w:line="240" w:beforeAutospacing="0" w:before="0" w:afterAutospacing="0" w:after="0"/>
        <w:ind w:left="4252" w:right="0" w:hanging="0"/>
        <w:jc w:val="both"/>
        <w:rPr/>
      </w:pPr>
      <w:r>
        <w:rPr>
          <w:rFonts w:eastAsia="Times New Roman" w:cs="Times New Roman" w:ascii="Arial" w:hAnsi="Arial"/>
          <w:color w:val="000000"/>
          <w:sz w:val="24"/>
          <w:szCs w:val="24"/>
        </w:rPr>
        <w:t xml:space="preserve">Aprova a Instrução Normativa CSDP Nº 02/2016, nos termos da Instrução Normativa Conjunta 01/2015, que </w:t>
      </w:r>
      <w:bookmarkStart w:id="0" w:name="__DdeLink__18385_1540877982"/>
      <w:r>
        <w:rPr>
          <w:rFonts w:eastAsia="Times New Roman" w:cs="Times New Roman" w:ascii="Arial" w:hAnsi="Arial"/>
          <w:color w:val="000000"/>
          <w:sz w:val="24"/>
          <w:szCs w:val="24"/>
        </w:rPr>
        <w:t>dispõe sobre o limite de atuação dos Defensores Públicos do Estado</w:t>
      </w:r>
      <w:bookmarkEnd w:id="0"/>
      <w:r>
        <w:rPr>
          <w:rFonts w:eastAsia="Times New Roman" w:cs="Times New Roman" w:ascii="Arial" w:hAnsi="Arial"/>
          <w:color w:val="000000"/>
          <w:sz w:val="24"/>
          <w:szCs w:val="24"/>
        </w:rPr>
        <w:t>.</w:t>
      </w:r>
    </w:p>
    <w:p>
      <w:pPr>
        <w:pStyle w:val="NormalWeb"/>
        <w:widowControl/>
        <w:bidi w:val="0"/>
        <w:spacing w:lineRule="auto" w:line="240" w:beforeAutospacing="0" w:before="0" w:afterAutospacing="0" w:after="0"/>
        <w:ind w:left="4252" w:right="0" w:hanging="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o Art. 51, V, do Regimento Interno do Conselho Superior da Defensoria Pública do Estado do Pará;</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eastAsia="Times New Roman" w:cs="Times New Roman" w:ascii="Arial" w:hAnsi="Arial"/>
          <w:color w:val="000000"/>
          <w:sz w:val="24"/>
          <w:szCs w:val="24"/>
        </w:rPr>
        <w:t>CONSIDERANDO a deliberação unânime do Egrégio Conselho Superior da Defensoria Pública na 132ª Sessão Ordinária, realizada no dia 21 de novembro de 2016;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Web"/>
        <w:spacing w:lineRule="auto" w:line="240" w:beforeAutospacing="0" w:before="0" w:afterAutospacing="0" w:after="0"/>
        <w:ind w:hanging="0"/>
        <w:jc w:val="both"/>
        <w:rPr>
          <w:b w:val="false"/>
          <w:b w:val="false"/>
          <w:bCs w:val="false"/>
        </w:rPr>
      </w:pPr>
      <w:r>
        <w:rPr>
          <w:rFonts w:cs="Arial" w:ascii="Arial" w:hAnsi="Arial"/>
          <w:b w:val="false"/>
          <w:bCs w:val="false"/>
        </w:rPr>
        <w:t xml:space="preserve">RESOLVE: </w:t>
      </w:r>
    </w:p>
    <w:p>
      <w:pPr>
        <w:pStyle w:val="NormalWeb"/>
        <w:spacing w:lineRule="auto" w:line="240" w:beforeAutospacing="0" w:before="0" w:afterAutospacing="0" w:after="0"/>
        <w:ind w:firstLine="1418"/>
        <w:jc w:val="both"/>
        <w:rPr>
          <w:rFonts w:ascii="Arial" w:hAnsi="Arial" w:cs="Arial"/>
          <w:b w:val="false"/>
          <w:b w:val="false"/>
          <w:bCs w:val="false"/>
        </w:rPr>
      </w:pPr>
      <w:r>
        <w:rPr>
          <w:rFonts w:cs="Arial" w:ascii="Arial" w:hAnsi="Arial"/>
          <w:b w:val="false"/>
          <w:bCs w:val="false"/>
        </w:rPr>
      </w:r>
    </w:p>
    <w:p>
      <w:pPr>
        <w:pStyle w:val="Normal"/>
        <w:spacing w:lineRule="auto" w:line="240" w:before="0" w:after="0"/>
        <w:jc w:val="both"/>
        <w:rPr>
          <w:b w:val="false"/>
          <w:b w:val="false"/>
          <w:bCs w:val="false"/>
        </w:rPr>
      </w:pPr>
      <w:r>
        <w:rPr>
          <w:rFonts w:eastAsia="Times New Roman" w:cs="Times New Roman" w:ascii="Arial" w:hAnsi="Arial"/>
          <w:b w:val="false"/>
          <w:bCs w:val="false"/>
          <w:color w:val="000000"/>
          <w:sz w:val="24"/>
          <w:szCs w:val="24"/>
        </w:rPr>
        <w:t>Art. 1º Aprovar a Instrução Normativa CSDP Nº 02/2016, nos exatos termos da Instrução Normativa Conjunta 01/2015, publicada no D.O.E. de 09/12/2015, conforme Anexo Único desta Resolução.</w:t>
      </w:r>
    </w:p>
    <w:p>
      <w:pPr>
        <w:pStyle w:val="Normal"/>
        <w:spacing w:lineRule="auto" w:line="240" w:before="0" w:after="0"/>
        <w:jc w:val="both"/>
        <w:rPr>
          <w:rFonts w:ascii="Arial" w:hAnsi="Arial" w:eastAsia="Times New Roman" w:cs="Times New Roman"/>
          <w:b w:val="false"/>
          <w:b w:val="false"/>
          <w:bCs w:val="false"/>
          <w:color w:val="000000"/>
          <w:sz w:val="24"/>
          <w:szCs w:val="24"/>
        </w:rPr>
      </w:pPr>
      <w:r>
        <w:rPr>
          <w:rFonts w:eastAsia="Times New Roman" w:cs="Times New Roman" w:ascii="Arial" w:hAnsi="Arial"/>
          <w:b w:val="false"/>
          <w:bCs w:val="false"/>
          <w:color w:val="000000"/>
          <w:sz w:val="24"/>
          <w:szCs w:val="24"/>
        </w:rPr>
      </w:r>
    </w:p>
    <w:p>
      <w:pPr>
        <w:pStyle w:val="Normal"/>
        <w:widowControl/>
        <w:suppressAutoHyphens w:val="true"/>
        <w:bidi w:val="0"/>
        <w:spacing w:lineRule="auto" w:line="240" w:before="0" w:after="0"/>
        <w:ind w:left="0" w:right="0" w:hanging="0"/>
        <w:jc w:val="both"/>
        <w:rPr>
          <w:b w:val="false"/>
          <w:b w:val="false"/>
          <w:bCs w:val="false"/>
        </w:rPr>
      </w:pPr>
      <w:r>
        <w:rPr>
          <w:rFonts w:cs="Times New Roman" w:ascii="Arial" w:hAnsi="Arial"/>
          <w:b w:val="false"/>
          <w:bCs w:val="false"/>
          <w:i w:val="false"/>
          <w:iCs w:val="false"/>
          <w:sz w:val="24"/>
          <w:szCs w:val="24"/>
        </w:rPr>
        <w:t xml:space="preserve">Art. </w:t>
      </w:r>
      <w:r>
        <w:rPr>
          <w:rFonts w:cs="Times New Roman" w:ascii="Arial" w:hAnsi="Arial"/>
          <w:b w:val="false"/>
          <w:bCs w:val="false"/>
          <w:i w:val="false"/>
          <w:iCs w:val="false"/>
          <w:sz w:val="24"/>
          <w:szCs w:val="24"/>
        </w:rPr>
        <w:t>2</w:t>
      </w:r>
      <w:r>
        <w:rPr>
          <w:rFonts w:cs="Times New Roman" w:ascii="Arial" w:hAnsi="Arial"/>
          <w:b w:val="false"/>
          <w:bCs w:val="false"/>
          <w:i w:val="false"/>
          <w:iCs w:val="false"/>
          <w:sz w:val="24"/>
          <w:szCs w:val="24"/>
        </w:rPr>
        <w:t>º Esta Resolução entra em vigor na data de sua publicação.</w:t>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i w:val="false"/>
          <w:iCs w:val="false"/>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 xml:space="preserve">Sala de reuniões do Conselho Superior da Defensoria Pública do Estado, aos vinte e um dias do mês de novembro do ano de dois mil e dezesseis. </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JENIFFER DE BARROS RODRIGUES</w:t>
      </w:r>
    </w:p>
    <w:p>
      <w:pPr>
        <w:pStyle w:val="Normal"/>
        <w:spacing w:lineRule="auto" w:line="240" w:before="0" w:after="0"/>
        <w:jc w:val="both"/>
        <w:rPr/>
      </w:pPr>
      <w:r>
        <w:rPr>
          <w:rFonts w:eastAsia="Times New Roman" w:cs="Times New Roman" w:ascii="Arial" w:hAnsi="Arial"/>
          <w:i w:val="false"/>
          <w:iCs w:val="false"/>
          <w:color w:val="000000"/>
          <w:sz w:val="24"/>
          <w:szCs w:val="24"/>
        </w:rPr>
        <w:t>Presidente do Conselho Superior</w:t>
      </w:r>
    </w:p>
    <w:p>
      <w:pPr>
        <w:pStyle w:val="Normal"/>
        <w:spacing w:lineRule="auto" w:line="240" w:before="0" w:after="0"/>
        <w:jc w:val="both"/>
        <w:rPr/>
      </w:pPr>
      <w:r>
        <w:rPr>
          <w:rFonts w:eastAsia="Times New Roman" w:cs="Times New Roman" w:ascii="Arial" w:hAnsi="Arial"/>
          <w:i w:val="false"/>
          <w:iCs w:val="false"/>
          <w:color w:val="000000"/>
          <w:sz w:val="24"/>
          <w:szCs w:val="24"/>
        </w:rPr>
        <w:t>Defensora Pública Geral</w:t>
      </w:r>
    </w:p>
    <w:p>
      <w:pPr>
        <w:pStyle w:val="Normal"/>
        <w:spacing w:lineRule="auto" w:line="240" w:before="0" w:after="0"/>
        <w:jc w:val="both"/>
        <w:rPr/>
      </w:pPr>
      <w:r>
        <w:rPr>
          <w:rFonts w:eastAsia="Times New Roman" w:cs="Times New Roman" w:ascii="Arial" w:hAnsi="Arial"/>
          <w:i w:val="false"/>
          <w:iCs w:val="false"/>
          <w:color w:val="000000"/>
          <w:sz w:val="24"/>
          <w:szCs w:val="24"/>
        </w:rPr>
        <w:t>Membro Nato</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VLADIMIR AUGUSTO DE CARVALHO LOBO E AVELINO KOENIG</w:t>
      </w:r>
    </w:p>
    <w:p>
      <w:pPr>
        <w:pStyle w:val="Normal"/>
        <w:spacing w:lineRule="auto" w:line="240" w:before="0" w:after="0"/>
        <w:jc w:val="both"/>
        <w:rPr/>
      </w:pPr>
      <w:r>
        <w:rPr>
          <w:rFonts w:eastAsia="Times New Roman" w:cs="Times New Roman" w:ascii="Arial" w:hAnsi="Arial"/>
          <w:i w:val="false"/>
          <w:iCs w:val="false"/>
          <w:color w:val="000000"/>
          <w:sz w:val="24"/>
          <w:szCs w:val="24"/>
        </w:rPr>
        <w:t>Subdefensor Público Geral</w:t>
      </w:r>
    </w:p>
    <w:p>
      <w:pPr>
        <w:pStyle w:val="Normal"/>
        <w:spacing w:lineRule="auto" w:line="240" w:before="0" w:after="0"/>
        <w:jc w:val="both"/>
        <w:rPr/>
      </w:pPr>
      <w:r>
        <w:rPr>
          <w:rFonts w:eastAsia="Times New Roman" w:cs="Times New Roman" w:ascii="Arial" w:hAnsi="Arial"/>
          <w:i w:val="false"/>
          <w:iCs w:val="false"/>
          <w:color w:val="000000"/>
          <w:sz w:val="24"/>
          <w:szCs w:val="24"/>
        </w:rPr>
        <w:t>Membro Nato</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ANTÔNIO CARLOS DE ANDRADE MONTEIRO</w:t>
      </w:r>
    </w:p>
    <w:p>
      <w:pPr>
        <w:pStyle w:val="Normal"/>
        <w:spacing w:lineRule="auto" w:line="240" w:before="0" w:after="0"/>
        <w:jc w:val="both"/>
        <w:rPr/>
      </w:pPr>
      <w:r>
        <w:rPr>
          <w:rFonts w:eastAsia="Times New Roman" w:cs="Times New Roman" w:ascii="Arial" w:hAnsi="Arial"/>
          <w:i w:val="false"/>
          <w:iCs w:val="false"/>
          <w:color w:val="000000"/>
          <w:sz w:val="24"/>
          <w:szCs w:val="24"/>
        </w:rPr>
        <w:t>Corregedor Geral</w:t>
      </w:r>
    </w:p>
    <w:p>
      <w:pPr>
        <w:pStyle w:val="Normal"/>
        <w:spacing w:lineRule="auto" w:line="240" w:before="0" w:after="0"/>
        <w:jc w:val="both"/>
        <w:rPr/>
      </w:pPr>
      <w:r>
        <w:rPr>
          <w:rFonts w:eastAsia="Times New Roman" w:cs="Times New Roman" w:ascii="Arial" w:hAnsi="Arial"/>
          <w:i w:val="false"/>
          <w:iCs w:val="false"/>
          <w:color w:val="000000"/>
          <w:sz w:val="24"/>
          <w:szCs w:val="24"/>
        </w:rPr>
        <w:t>Membro Nato</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JOSÉ ROBERTO DA COSTA MARTINS</w:t>
      </w:r>
    </w:p>
    <w:p>
      <w:pPr>
        <w:pStyle w:val="Normal"/>
        <w:spacing w:lineRule="auto" w:line="240" w:before="0" w:after="0"/>
        <w:jc w:val="both"/>
        <w:rPr/>
      </w:pPr>
      <w:r>
        <w:rPr>
          <w:rFonts w:eastAsia="Times New Roman" w:cs="Times New Roman" w:ascii="Arial" w:hAnsi="Arial"/>
          <w:i w:val="false"/>
          <w:iCs w:val="false"/>
          <w:color w:val="000000"/>
          <w:sz w:val="24"/>
          <w:szCs w:val="24"/>
        </w:rPr>
        <w:t>Membro Titular</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FERNANDO ALBUQUERQUE DE OLIVEIRA</w:t>
      </w:r>
    </w:p>
    <w:p>
      <w:pPr>
        <w:pStyle w:val="Normal"/>
        <w:spacing w:lineRule="auto" w:line="240" w:before="0" w:after="0"/>
        <w:jc w:val="both"/>
        <w:rPr/>
      </w:pPr>
      <w:r>
        <w:rPr>
          <w:rFonts w:eastAsia="Times New Roman" w:cs="Times New Roman" w:ascii="Arial" w:hAnsi="Arial"/>
          <w:i w:val="false"/>
          <w:iCs w:val="false"/>
          <w:color w:val="000000"/>
          <w:sz w:val="24"/>
          <w:szCs w:val="24"/>
        </w:rPr>
        <w:t>Membro Titular</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MARCO AURÉLIO VELLOZO GUTERRES</w:t>
      </w:r>
    </w:p>
    <w:p>
      <w:pPr>
        <w:pStyle w:val="Normal"/>
        <w:spacing w:lineRule="auto" w:line="240" w:before="0" w:after="0"/>
        <w:jc w:val="both"/>
        <w:rPr/>
      </w:pPr>
      <w:r>
        <w:rPr>
          <w:rFonts w:eastAsia="Times New Roman" w:cs="Times New Roman" w:ascii="Arial" w:hAnsi="Arial"/>
          <w:i w:val="false"/>
          <w:iCs w:val="false"/>
          <w:color w:val="000000"/>
          <w:sz w:val="24"/>
          <w:szCs w:val="24"/>
        </w:rPr>
        <w:t>Membro Titular</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 xml:space="preserve">FRANCISCO ROBÉRIO CAVALCANTE PINHEIRO FILHO </w:t>
      </w:r>
    </w:p>
    <w:p>
      <w:pPr>
        <w:pStyle w:val="Normal"/>
        <w:spacing w:lineRule="auto" w:line="240" w:before="0" w:after="0"/>
        <w:jc w:val="both"/>
        <w:rPr/>
      </w:pPr>
      <w:r>
        <w:rPr>
          <w:rFonts w:eastAsia="Times New Roman" w:cs="Times New Roman" w:ascii="Arial" w:hAnsi="Arial"/>
          <w:i w:val="false"/>
          <w:iCs w:val="false"/>
          <w:color w:val="000000"/>
          <w:sz w:val="24"/>
          <w:szCs w:val="24"/>
        </w:rPr>
        <w:t>Membro Titular</w:t>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Normal"/>
        <w:spacing w:lineRule="auto" w:line="240" w:before="0" w:after="0"/>
        <w:jc w:val="both"/>
        <w:rPr/>
      </w:pPr>
      <w:r>
        <w:rPr>
          <w:rFonts w:eastAsia="Times New Roman" w:cs="Times New Roman" w:ascii="Arial" w:hAnsi="Arial"/>
          <w:i w:val="false"/>
          <w:iCs w:val="false"/>
          <w:color w:val="000000"/>
          <w:sz w:val="24"/>
          <w:szCs w:val="24"/>
        </w:rPr>
        <w:t>WALTER AUGUSTO BARRETO TEIXEIRA</w:t>
      </w:r>
    </w:p>
    <w:p>
      <w:pPr>
        <w:pStyle w:val="Normal"/>
        <w:spacing w:lineRule="auto" w:line="240" w:before="0" w:after="0"/>
        <w:jc w:val="both"/>
        <w:rPr/>
      </w:pPr>
      <w:r>
        <w:rPr>
          <w:rFonts w:eastAsia="Times New Roman" w:cs="Times New Roman" w:ascii="Arial" w:hAnsi="Arial"/>
          <w:i w:val="false"/>
          <w:iCs w:val="false"/>
          <w:color w:val="000000"/>
          <w:sz w:val="24"/>
          <w:szCs w:val="24"/>
        </w:rPr>
        <w:t>Membro Titular</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center"/>
        <w:rPr/>
      </w:pPr>
      <w:r>
        <w:rPr>
          <w:rFonts w:eastAsia="Times New Roman" w:cs="Times New Roman" w:ascii="Arial" w:hAnsi="Arial"/>
          <w:b/>
          <w:bCs/>
          <w:i w:val="false"/>
          <w:iCs w:val="false"/>
          <w:color w:val="000000"/>
          <w:sz w:val="24"/>
          <w:szCs w:val="24"/>
        </w:rPr>
        <w:t>ANEXO ÚNICO DA RESOLUÇÃO CSDP Nº 177, DE 21 DE NOVEMBRO DE 2016.</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b/>
          <w:bCs/>
          <w:i w:val="false"/>
          <w:iCs w:val="false"/>
          <w:color w:val="000000"/>
          <w:sz w:val="24"/>
          <w:szCs w:val="24"/>
        </w:rPr>
        <w:t>IN-CSDP Nº 02, de 21 de novembro de 2016.</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3969" w:right="0" w:hanging="0"/>
        <w:jc w:val="both"/>
        <w:rPr/>
      </w:pPr>
      <w:r>
        <w:rPr>
          <w:rFonts w:eastAsia="Times New Roman" w:cs="Times New Roman" w:ascii="Arial" w:hAnsi="Arial"/>
          <w:i w:val="false"/>
          <w:iCs w:val="false"/>
          <w:color w:val="000000"/>
          <w:sz w:val="24"/>
          <w:szCs w:val="24"/>
        </w:rPr>
        <w:t>Dispõe sobre o limite de atuação dos Defensores Públicos do Estado.</w:t>
      </w:r>
    </w:p>
    <w:p>
      <w:pPr>
        <w:pStyle w:val="Western"/>
        <w:widowControl/>
        <w:suppressAutoHyphens w:val="true"/>
        <w:bidi w:val="0"/>
        <w:spacing w:lineRule="auto" w:line="240" w:before="0" w:after="0"/>
        <w:ind w:left="3969"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Art. 1º Os Defensores Públicos titulares ou designados para atuar em uma Defensoria Pública não atuarão fora da atribuição de sua respectiva Defensoria Pública.</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Art. 2º Excepcionalmente, o Defensor Público com atribuições em uma unidade territorial poderá atuar na área territorial de outra Defensoria Pública quando o assistido residente em sua unidade territorial necessitar de defesa de seus direitos fora dos limites territoriais de sua unidade.</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§1º A assistência jurídica fora da unidade territorial da Defensoria Pública de  atuação se limitará ao atendimento jurídico, orientação, realização de transação, conciliação e mediação extrajudicial, confecção de petições iniciais  ou intermediárias, neste último caso quando o assistido for intimado pessoalmente para se manifestar, sendo vedado o deslocamento do Defensor  sem autorização do Defensor Público Geral.</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§2º A escolha da Defensoria Pública que prestará assistência jurídica, se a de seu domicílio ou a competente para análise de sua demanda judicial ou administrativa, ficará a critério do assistido, dentro dos limites estabelecidos no §1º.</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§3º Não se aplica o disposto nesta Instrução Normativa, em áreas territoriais contíguas e/ou localizadas na região metropolitana de Belém, hipótese em que a Defensoria Pública responsável pelo atendimento será a de atribuição territorial para análise da demanda judicial ou administrativa, independente da vontade do assistido.</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§4º Caso a demanda do assistido vise a propositura de ação judicial fora de  seu domicílio, deverá o Defensor Público  com  atribuição  na  forma  desta Instrução (§1º e §2º) confeccionar a petição inicial, instruindo-a com os documentos indispensáveis para a propositura da mesma, encaminhando-os para a Defensoria Pública competente via e-mail funcional ou outro meio  idôneo, para ratificação e protocolo pelo Defensor Público atuante no local da propositura da ação, ou através da Diretoria respectiva quando não houver Defensor Público atuando na Defensoria destinatária.</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§5º Quando a demanda do assistido for a manifestação processual em processo já ajuizado, ante a citação ou intimação pessoal para praticar qualquer ato processual afeto a área territorial de outra Defensoria Pública do  Estado, nos termos do disposto no §1º, será o mesmo atendido pelo Defensor  com atribuição material de seu domicílio, que peticionará diretamente ao  Juízo competente, utilizando qualquer meio de transmissão de dados, devendo remeter por correio os documentos originais, conforme previsão legal.</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Art. 3º A limitação de atuação descrita no art. 1º não se aplica aos Órgãos da  Administração Superior, as Diretorias e Coordenações de Núcleo, que poderão  excepcionalmente atuar na área territorial das Defensorias Públicas subordinadas aos referidos órgãos.</w:t>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p>
    <w:pPr>
      <w:pStyle w:val="Ttulo6"/>
      <w:spacing w:lineRule="auto" w:line="240" w:before="0" w:after="0"/>
      <w:jc w:val="center"/>
      <w:rPr>
        <w:rFonts w:ascii="Arial" w:hAnsi="Arial"/>
        <w:b/>
        <w:b/>
        <w:bCs/>
        <w:sz w:val="22"/>
        <w:szCs w:val="22"/>
      </w:rPr>
    </w:pPr>
    <w:r>
      <w:rPr>
        <w:rFonts w:ascii="Arial" w:hAnsi="Arial"/>
        <w:b/>
        <w:bCs/>
        <w:sz w:val="22"/>
        <w:szCs w:val="22"/>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Application>LibreOffice/5.0.6.3$Windows_x86 LibreOffice_project/490fc03b25318460cfc54456516ea2519c11d1aa</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2016-11-29T11:15:35Z</cp:lastPrinted>
  <dcterms:modified xsi:type="dcterms:W3CDTF">2016-11-29T13:21:48Z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